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12" w:rsidRDefault="008E3D12" w:rsidP="008E3D12">
      <w:pPr>
        <w:jc w:val="center"/>
      </w:pPr>
      <w:r>
        <w:rPr>
          <w:spacing w:val="10"/>
          <w:sz w:val="36"/>
          <w:szCs w:val="36"/>
        </w:rPr>
        <w:t>2500</w:t>
      </w:r>
      <w:r>
        <w:rPr>
          <w:rFonts w:ascii="金长城黑体" w:hAnsi="金长城黑体"/>
          <w:spacing w:val="10"/>
          <w:sz w:val="36"/>
          <w:szCs w:val="36"/>
        </w:rPr>
        <w:t>型压裂车</w:t>
      </w:r>
    </w:p>
    <w:p w:rsidR="008E3D12" w:rsidRDefault="008E3D12" w:rsidP="008E3D12">
      <w:pPr>
        <w:spacing w:line="360" w:lineRule="auto"/>
        <w:ind w:leftChars="200" w:left="420"/>
        <w:rPr>
          <w:sz w:val="24"/>
          <w:szCs w:val="24"/>
        </w:rPr>
      </w:pPr>
      <w:r>
        <w:rPr>
          <w:rFonts w:hint="eastAsia"/>
          <w:sz w:val="24"/>
          <w:szCs w:val="24"/>
        </w:rPr>
        <w:t>1</w:t>
      </w:r>
      <w:r>
        <w:rPr>
          <w:rFonts w:ascii="宋体" w:hAnsi="宋体" w:hint="eastAsia"/>
          <w:sz w:val="24"/>
          <w:szCs w:val="24"/>
        </w:rPr>
        <w:t>、载重汽车</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型号：重汽（</w:t>
      </w:r>
      <w:proofErr w:type="gramStart"/>
      <w:r>
        <w:rPr>
          <w:rFonts w:ascii="宋体" w:hAnsi="宋体" w:hint="eastAsia"/>
          <w:sz w:val="24"/>
          <w:szCs w:val="24"/>
        </w:rPr>
        <w:t>曼</w:t>
      </w:r>
      <w:proofErr w:type="gramEnd"/>
      <w:r>
        <w:rPr>
          <w:rFonts w:ascii="宋体" w:hAnsi="宋体" w:hint="eastAsia"/>
          <w:sz w:val="24"/>
          <w:szCs w:val="24"/>
        </w:rPr>
        <w:t>）</w:t>
      </w:r>
      <w:r>
        <w:rPr>
          <w:sz w:val="24"/>
          <w:szCs w:val="24"/>
        </w:rPr>
        <w:t>ZZ5446V456MD2</w:t>
      </w:r>
      <w:r>
        <w:rPr>
          <w:rFonts w:ascii="宋体" w:hAnsi="宋体" w:hint="eastAsia"/>
          <w:sz w:val="24"/>
          <w:szCs w:val="24"/>
        </w:rPr>
        <w:t>（国五）</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驱动形式：</w:t>
      </w:r>
      <w:r>
        <w:rPr>
          <w:sz w:val="24"/>
          <w:szCs w:val="24"/>
        </w:rPr>
        <w:t>8×4</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轴距：</w:t>
      </w:r>
      <w:r>
        <w:rPr>
          <w:sz w:val="24"/>
          <w:szCs w:val="24"/>
        </w:rPr>
        <w:t>1950+4</w:t>
      </w:r>
      <w:r>
        <w:rPr>
          <w:rFonts w:hint="eastAsia"/>
          <w:sz w:val="24"/>
          <w:szCs w:val="24"/>
        </w:rPr>
        <w:t>5</w:t>
      </w:r>
      <w:r>
        <w:rPr>
          <w:sz w:val="24"/>
          <w:szCs w:val="24"/>
        </w:rPr>
        <w:t>25+1350</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发动机型号：</w:t>
      </w:r>
      <w:r>
        <w:rPr>
          <w:sz w:val="24"/>
          <w:szCs w:val="24"/>
        </w:rPr>
        <w:t>MC11.40-50</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发动机功率：</w:t>
      </w:r>
      <w:r>
        <w:rPr>
          <w:sz w:val="24"/>
          <w:szCs w:val="24"/>
        </w:rPr>
        <w:t>324kw</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发动机转速：</w:t>
      </w:r>
      <w:r>
        <w:rPr>
          <w:sz w:val="24"/>
          <w:szCs w:val="24"/>
        </w:rPr>
        <w:t>1900rPm</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变速箱型号：</w:t>
      </w:r>
      <w:r>
        <w:rPr>
          <w:sz w:val="24"/>
          <w:szCs w:val="24"/>
        </w:rPr>
        <w:t>ZF16S1950</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载重：</w:t>
      </w:r>
      <w:r>
        <w:rPr>
          <w:sz w:val="24"/>
          <w:szCs w:val="24"/>
        </w:rPr>
        <w:t>44000 kg</w:t>
      </w:r>
    </w:p>
    <w:p w:rsidR="008E3D12" w:rsidRDefault="008E3D12" w:rsidP="008E3D12">
      <w:pPr>
        <w:spacing w:line="360" w:lineRule="auto"/>
        <w:ind w:leftChars="200" w:left="420" w:firstLineChars="150" w:firstLine="360"/>
        <w:rPr>
          <w:sz w:val="24"/>
          <w:szCs w:val="24"/>
          <w:u w:val="single"/>
        </w:rPr>
      </w:pPr>
      <w:r>
        <w:rPr>
          <w:rFonts w:ascii="宋体" w:hAnsi="宋体" w:hint="eastAsia"/>
          <w:sz w:val="24"/>
          <w:szCs w:val="24"/>
        </w:rPr>
        <w:t>汽车颜色：</w:t>
      </w:r>
      <w:r>
        <w:rPr>
          <w:rFonts w:hint="eastAsia"/>
          <w:sz w:val="24"/>
          <w:szCs w:val="24"/>
          <w:u w:val="single"/>
        </w:rPr>
        <w:t xml:space="preserve">     </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轮胎为钢丝胎，简易卧铺，内置空调</w:t>
      </w:r>
    </w:p>
    <w:p w:rsidR="008E3D12" w:rsidRDefault="008E3D12" w:rsidP="008E3D12">
      <w:pPr>
        <w:spacing w:line="360" w:lineRule="auto"/>
        <w:ind w:leftChars="200" w:left="420"/>
        <w:rPr>
          <w:sz w:val="24"/>
          <w:szCs w:val="24"/>
        </w:rPr>
      </w:pPr>
      <w:r>
        <w:rPr>
          <w:rFonts w:hint="eastAsia"/>
          <w:sz w:val="24"/>
          <w:szCs w:val="24"/>
        </w:rPr>
        <w:t>2</w:t>
      </w:r>
      <w:r>
        <w:rPr>
          <w:rFonts w:ascii="宋体" w:hAnsi="宋体" w:hint="eastAsia"/>
          <w:sz w:val="24"/>
          <w:szCs w:val="24"/>
        </w:rPr>
        <w:t>、台上柴油机</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型号：康明斯</w:t>
      </w:r>
      <w:r>
        <w:rPr>
          <w:rFonts w:hint="eastAsia"/>
          <w:sz w:val="24"/>
          <w:szCs w:val="24"/>
        </w:rPr>
        <w:t>QSK50-C2500</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使用功率：</w:t>
      </w:r>
      <w:r>
        <w:rPr>
          <w:rFonts w:hint="eastAsia"/>
          <w:sz w:val="24"/>
          <w:szCs w:val="24"/>
        </w:rPr>
        <w:t>2500HP</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转速：</w:t>
      </w:r>
      <w:r>
        <w:rPr>
          <w:rFonts w:hint="eastAsia"/>
          <w:sz w:val="24"/>
          <w:szCs w:val="24"/>
        </w:rPr>
        <w:t xml:space="preserve">1900 </w:t>
      </w:r>
      <w:proofErr w:type="spellStart"/>
      <w:r>
        <w:rPr>
          <w:rFonts w:hint="eastAsia"/>
          <w:sz w:val="24"/>
          <w:szCs w:val="24"/>
        </w:rPr>
        <w:t>rPm</w:t>
      </w:r>
      <w:proofErr w:type="spellEnd"/>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最大扭矩：</w:t>
      </w:r>
      <w:r>
        <w:rPr>
          <w:rFonts w:hint="eastAsia"/>
          <w:sz w:val="24"/>
          <w:szCs w:val="24"/>
        </w:rPr>
        <w:t>8542N.m/1350</w:t>
      </w:r>
      <w:r>
        <w:rPr>
          <w:rFonts w:ascii="宋体" w:hAnsi="宋体" w:hint="eastAsia"/>
          <w:sz w:val="24"/>
          <w:szCs w:val="24"/>
        </w:rPr>
        <w:t>～</w:t>
      </w:r>
      <w:r>
        <w:rPr>
          <w:rFonts w:hint="eastAsia"/>
          <w:sz w:val="24"/>
          <w:szCs w:val="24"/>
        </w:rPr>
        <w:t>1500r/min</w:t>
      </w:r>
    </w:p>
    <w:p w:rsidR="008E3D12" w:rsidRDefault="008E3D12" w:rsidP="008E3D12">
      <w:pPr>
        <w:spacing w:line="360" w:lineRule="auto"/>
        <w:ind w:leftChars="200" w:left="420" w:firstLineChars="150" w:firstLine="361"/>
        <w:rPr>
          <w:b/>
          <w:bCs/>
          <w:i/>
          <w:iCs/>
          <w:sz w:val="24"/>
          <w:szCs w:val="24"/>
        </w:rPr>
      </w:pPr>
      <w:r>
        <w:rPr>
          <w:rFonts w:ascii="宋体" w:hAnsi="宋体" w:hint="eastAsia"/>
          <w:b/>
          <w:bCs/>
          <w:i/>
          <w:iCs/>
          <w:sz w:val="24"/>
          <w:szCs w:val="24"/>
        </w:rPr>
        <w:t>散热器形式分立式、卧式两种，由用户选择。</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加装冷却液加热锅炉。</w:t>
      </w:r>
    </w:p>
    <w:p w:rsidR="008E3D12" w:rsidRDefault="008E3D12" w:rsidP="008E3D12">
      <w:pPr>
        <w:spacing w:line="360" w:lineRule="auto"/>
        <w:ind w:leftChars="200" w:left="420"/>
        <w:rPr>
          <w:sz w:val="24"/>
          <w:szCs w:val="24"/>
        </w:rPr>
      </w:pPr>
      <w:r>
        <w:rPr>
          <w:rFonts w:hint="eastAsia"/>
          <w:sz w:val="24"/>
          <w:szCs w:val="24"/>
        </w:rPr>
        <w:t>3</w:t>
      </w:r>
      <w:r>
        <w:rPr>
          <w:rFonts w:ascii="宋体" w:hAnsi="宋体" w:hint="eastAsia"/>
          <w:sz w:val="24"/>
          <w:szCs w:val="24"/>
        </w:rPr>
        <w:t>、变速箱</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型号：艾里逊（</w:t>
      </w:r>
      <w:r>
        <w:rPr>
          <w:rFonts w:hint="eastAsia"/>
          <w:sz w:val="24"/>
          <w:szCs w:val="24"/>
        </w:rPr>
        <w:t>ALLISON</w:t>
      </w:r>
      <w:r>
        <w:rPr>
          <w:rFonts w:ascii="宋体" w:hAnsi="宋体" w:hint="eastAsia"/>
          <w:sz w:val="24"/>
          <w:szCs w:val="24"/>
        </w:rPr>
        <w:t>）</w:t>
      </w:r>
      <w:r>
        <w:rPr>
          <w:rFonts w:hint="eastAsia"/>
          <w:sz w:val="24"/>
          <w:szCs w:val="24"/>
        </w:rPr>
        <w:t>9826OFS</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最大输入功率：</w:t>
      </w:r>
      <w:r>
        <w:rPr>
          <w:rFonts w:hint="eastAsia"/>
          <w:sz w:val="24"/>
          <w:szCs w:val="24"/>
        </w:rPr>
        <w:t>2500 HP</w:t>
      </w:r>
      <w:r>
        <w:rPr>
          <w:rFonts w:ascii="宋体" w:hAnsi="宋体" w:hint="eastAsia"/>
          <w:sz w:val="24"/>
          <w:szCs w:val="24"/>
        </w:rPr>
        <w:t>（</w:t>
      </w:r>
      <w:r>
        <w:rPr>
          <w:rFonts w:hint="eastAsia"/>
          <w:sz w:val="24"/>
          <w:szCs w:val="24"/>
        </w:rPr>
        <w:t>1838kw</w:t>
      </w:r>
      <w:r>
        <w:rPr>
          <w:rFonts w:ascii="宋体" w:hAnsi="宋体" w:hint="eastAsia"/>
          <w:sz w:val="24"/>
          <w:szCs w:val="24"/>
        </w:rPr>
        <w:t>）</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最高输入转速：</w:t>
      </w:r>
      <w:r>
        <w:rPr>
          <w:rFonts w:hint="eastAsia"/>
          <w:sz w:val="24"/>
          <w:szCs w:val="24"/>
        </w:rPr>
        <w:t xml:space="preserve">2100 </w:t>
      </w:r>
      <w:proofErr w:type="spellStart"/>
      <w:r>
        <w:rPr>
          <w:rFonts w:hint="eastAsia"/>
          <w:sz w:val="24"/>
          <w:szCs w:val="24"/>
        </w:rPr>
        <w:t>rPm</w:t>
      </w:r>
      <w:proofErr w:type="spellEnd"/>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最大输入扭矩：</w:t>
      </w:r>
      <w:proofErr w:type="gramStart"/>
      <w:r>
        <w:rPr>
          <w:rFonts w:hint="eastAsia"/>
          <w:sz w:val="24"/>
          <w:szCs w:val="24"/>
        </w:rPr>
        <w:t xml:space="preserve">10507 </w:t>
      </w:r>
      <w:proofErr w:type="spellStart"/>
      <w:r>
        <w:rPr>
          <w:rFonts w:hint="eastAsia"/>
          <w:sz w:val="24"/>
          <w:szCs w:val="24"/>
        </w:rPr>
        <w:t>N.m</w:t>
      </w:r>
      <w:proofErr w:type="spellEnd"/>
      <w:proofErr w:type="gramEnd"/>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速比：</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947"/>
        <w:gridCol w:w="947"/>
        <w:gridCol w:w="948"/>
        <w:gridCol w:w="948"/>
        <w:gridCol w:w="948"/>
        <w:gridCol w:w="948"/>
        <w:gridCol w:w="948"/>
        <w:gridCol w:w="941"/>
      </w:tblGrid>
      <w:tr w:rsidR="008E3D12" w:rsidTr="008E3D12">
        <w:trPr>
          <w:trHeight w:val="402"/>
        </w:trPr>
        <w:tc>
          <w:tcPr>
            <w:tcW w:w="947" w:type="dxa"/>
            <w:tcBorders>
              <w:top w:val="single" w:sz="4" w:space="0" w:color="auto"/>
              <w:left w:val="single" w:sz="4" w:space="0" w:color="auto"/>
              <w:bottom w:val="single" w:sz="4" w:space="0" w:color="auto"/>
              <w:right w:val="single" w:sz="4" w:space="0" w:color="auto"/>
            </w:tcBorders>
            <w:noWrap/>
            <w:vAlign w:val="center"/>
            <w:hideMark/>
          </w:tcPr>
          <w:p w:rsidR="008E3D12" w:rsidRDefault="008E3D12">
            <w:pPr>
              <w:widowControl/>
              <w:spacing w:line="273" w:lineRule="auto"/>
              <w:jc w:val="center"/>
              <w:rPr>
                <w:rFonts w:ascii="宋体" w:hAnsi="宋体"/>
                <w:kern w:val="0"/>
                <w:sz w:val="24"/>
                <w:szCs w:val="24"/>
              </w:rPr>
            </w:pPr>
            <w:r>
              <w:rPr>
                <w:rFonts w:ascii="宋体" w:hAnsi="宋体" w:hint="eastAsia"/>
                <w:kern w:val="0"/>
                <w:sz w:val="24"/>
                <w:szCs w:val="24"/>
              </w:rPr>
              <w:t>挡位</w:t>
            </w:r>
          </w:p>
        </w:tc>
        <w:tc>
          <w:tcPr>
            <w:tcW w:w="947" w:type="dxa"/>
            <w:tcBorders>
              <w:top w:val="single" w:sz="4" w:space="0" w:color="auto"/>
              <w:left w:val="nil"/>
              <w:bottom w:val="single" w:sz="4" w:space="0" w:color="auto"/>
              <w:right w:val="single" w:sz="4" w:space="0" w:color="auto"/>
            </w:tcBorders>
            <w:noWrap/>
            <w:vAlign w:val="center"/>
            <w:hideMark/>
          </w:tcPr>
          <w:p w:rsidR="008E3D12" w:rsidRDefault="008E3D12">
            <w:pPr>
              <w:widowControl/>
              <w:spacing w:line="273" w:lineRule="auto"/>
              <w:jc w:val="center"/>
              <w:rPr>
                <w:rFonts w:ascii="宋体" w:hAnsi="宋体"/>
                <w:kern w:val="0"/>
                <w:sz w:val="24"/>
                <w:szCs w:val="24"/>
              </w:rPr>
            </w:pPr>
            <w:r>
              <w:rPr>
                <w:rFonts w:ascii="宋体" w:hAnsi="宋体" w:hint="eastAsia"/>
                <w:kern w:val="0"/>
                <w:sz w:val="24"/>
                <w:szCs w:val="24"/>
              </w:rPr>
              <w:t>Ⅰ</w:t>
            </w:r>
          </w:p>
        </w:tc>
        <w:tc>
          <w:tcPr>
            <w:tcW w:w="947" w:type="dxa"/>
            <w:tcBorders>
              <w:top w:val="single" w:sz="4" w:space="0" w:color="auto"/>
              <w:left w:val="nil"/>
              <w:bottom w:val="single" w:sz="4" w:space="0" w:color="auto"/>
              <w:right w:val="single" w:sz="4" w:space="0" w:color="auto"/>
            </w:tcBorders>
            <w:noWrap/>
            <w:vAlign w:val="center"/>
            <w:hideMark/>
          </w:tcPr>
          <w:p w:rsidR="008E3D12" w:rsidRDefault="008E3D12">
            <w:pPr>
              <w:widowControl/>
              <w:spacing w:line="273" w:lineRule="auto"/>
              <w:jc w:val="center"/>
              <w:rPr>
                <w:rFonts w:ascii="宋体" w:hAnsi="宋体"/>
                <w:kern w:val="0"/>
                <w:sz w:val="24"/>
                <w:szCs w:val="24"/>
              </w:rPr>
            </w:pPr>
            <w:r>
              <w:rPr>
                <w:rFonts w:ascii="宋体" w:hAnsi="宋体" w:hint="eastAsia"/>
                <w:kern w:val="0"/>
                <w:sz w:val="24"/>
                <w:szCs w:val="24"/>
              </w:rPr>
              <w:t>Ⅱ</w:t>
            </w:r>
          </w:p>
        </w:tc>
        <w:tc>
          <w:tcPr>
            <w:tcW w:w="948" w:type="dxa"/>
            <w:tcBorders>
              <w:top w:val="single" w:sz="4" w:space="0" w:color="auto"/>
              <w:left w:val="nil"/>
              <w:bottom w:val="single" w:sz="4" w:space="0" w:color="auto"/>
              <w:right w:val="single" w:sz="4" w:space="0" w:color="auto"/>
            </w:tcBorders>
            <w:noWrap/>
            <w:vAlign w:val="center"/>
            <w:hideMark/>
          </w:tcPr>
          <w:p w:rsidR="008E3D12" w:rsidRDefault="008E3D12">
            <w:pPr>
              <w:widowControl/>
              <w:spacing w:line="273" w:lineRule="auto"/>
              <w:jc w:val="center"/>
              <w:rPr>
                <w:rFonts w:ascii="宋体" w:hAnsi="宋体"/>
                <w:kern w:val="0"/>
                <w:sz w:val="24"/>
                <w:szCs w:val="24"/>
              </w:rPr>
            </w:pPr>
            <w:r>
              <w:rPr>
                <w:rFonts w:ascii="宋体" w:hAnsi="宋体" w:hint="eastAsia"/>
                <w:kern w:val="0"/>
                <w:sz w:val="24"/>
                <w:szCs w:val="24"/>
              </w:rPr>
              <w:t>Ⅲ</w:t>
            </w:r>
          </w:p>
        </w:tc>
        <w:tc>
          <w:tcPr>
            <w:tcW w:w="948" w:type="dxa"/>
            <w:tcBorders>
              <w:top w:val="single" w:sz="4" w:space="0" w:color="auto"/>
              <w:left w:val="nil"/>
              <w:bottom w:val="single" w:sz="4" w:space="0" w:color="auto"/>
              <w:right w:val="single" w:sz="4" w:space="0" w:color="auto"/>
            </w:tcBorders>
            <w:noWrap/>
            <w:vAlign w:val="center"/>
            <w:hideMark/>
          </w:tcPr>
          <w:p w:rsidR="008E3D12" w:rsidRDefault="008E3D12">
            <w:pPr>
              <w:widowControl/>
              <w:spacing w:line="273" w:lineRule="auto"/>
              <w:jc w:val="center"/>
              <w:rPr>
                <w:rFonts w:ascii="宋体" w:hAnsi="宋体"/>
                <w:kern w:val="0"/>
                <w:sz w:val="24"/>
                <w:szCs w:val="24"/>
              </w:rPr>
            </w:pPr>
            <w:r>
              <w:rPr>
                <w:rFonts w:ascii="宋体" w:hAnsi="宋体" w:hint="eastAsia"/>
                <w:kern w:val="0"/>
                <w:sz w:val="24"/>
                <w:szCs w:val="24"/>
              </w:rPr>
              <w:t>Ⅳ</w:t>
            </w:r>
          </w:p>
        </w:tc>
        <w:tc>
          <w:tcPr>
            <w:tcW w:w="948" w:type="dxa"/>
            <w:tcBorders>
              <w:top w:val="single" w:sz="4" w:space="0" w:color="auto"/>
              <w:left w:val="nil"/>
              <w:bottom w:val="single" w:sz="4" w:space="0" w:color="auto"/>
              <w:right w:val="single" w:sz="4" w:space="0" w:color="auto"/>
            </w:tcBorders>
            <w:noWrap/>
            <w:vAlign w:val="center"/>
            <w:hideMark/>
          </w:tcPr>
          <w:p w:rsidR="008E3D12" w:rsidRDefault="008E3D12">
            <w:pPr>
              <w:widowControl/>
              <w:spacing w:line="273" w:lineRule="auto"/>
              <w:jc w:val="center"/>
              <w:rPr>
                <w:rFonts w:ascii="宋体" w:hAnsi="宋体"/>
                <w:kern w:val="0"/>
                <w:sz w:val="24"/>
                <w:szCs w:val="24"/>
              </w:rPr>
            </w:pPr>
            <w:r>
              <w:rPr>
                <w:rFonts w:ascii="宋体" w:hAnsi="宋体" w:hint="eastAsia"/>
                <w:kern w:val="0"/>
                <w:sz w:val="24"/>
                <w:szCs w:val="24"/>
              </w:rPr>
              <w:t>Ⅴ</w:t>
            </w:r>
          </w:p>
        </w:tc>
        <w:tc>
          <w:tcPr>
            <w:tcW w:w="948" w:type="dxa"/>
            <w:tcBorders>
              <w:top w:val="single" w:sz="4" w:space="0" w:color="auto"/>
              <w:left w:val="nil"/>
              <w:bottom w:val="single" w:sz="4" w:space="0" w:color="auto"/>
              <w:right w:val="single" w:sz="4" w:space="0" w:color="auto"/>
            </w:tcBorders>
            <w:noWrap/>
            <w:vAlign w:val="center"/>
            <w:hideMark/>
          </w:tcPr>
          <w:p w:rsidR="008E3D12" w:rsidRDefault="008E3D12">
            <w:pPr>
              <w:widowControl/>
              <w:spacing w:line="273" w:lineRule="auto"/>
              <w:jc w:val="center"/>
              <w:rPr>
                <w:rFonts w:ascii="宋体" w:hAnsi="宋体"/>
                <w:kern w:val="0"/>
                <w:sz w:val="24"/>
                <w:szCs w:val="24"/>
              </w:rPr>
            </w:pPr>
            <w:r>
              <w:rPr>
                <w:rFonts w:ascii="宋体" w:hAnsi="宋体" w:hint="eastAsia"/>
                <w:kern w:val="0"/>
                <w:sz w:val="24"/>
                <w:szCs w:val="24"/>
              </w:rPr>
              <w:t>Ⅵ</w:t>
            </w:r>
          </w:p>
        </w:tc>
        <w:tc>
          <w:tcPr>
            <w:tcW w:w="948" w:type="dxa"/>
            <w:tcBorders>
              <w:top w:val="single" w:sz="4" w:space="0" w:color="auto"/>
              <w:left w:val="nil"/>
              <w:bottom w:val="single" w:sz="4" w:space="0" w:color="auto"/>
              <w:right w:val="single" w:sz="4" w:space="0" w:color="auto"/>
            </w:tcBorders>
            <w:noWrap/>
            <w:vAlign w:val="center"/>
            <w:hideMark/>
          </w:tcPr>
          <w:p w:rsidR="008E3D12" w:rsidRDefault="008E3D12">
            <w:pPr>
              <w:widowControl/>
              <w:spacing w:line="273" w:lineRule="auto"/>
              <w:jc w:val="center"/>
              <w:rPr>
                <w:rFonts w:ascii="宋体" w:hAnsi="宋体"/>
                <w:kern w:val="0"/>
                <w:sz w:val="24"/>
                <w:szCs w:val="24"/>
              </w:rPr>
            </w:pPr>
            <w:r>
              <w:rPr>
                <w:rFonts w:ascii="宋体" w:hAnsi="宋体" w:hint="eastAsia"/>
                <w:kern w:val="0"/>
                <w:sz w:val="24"/>
                <w:szCs w:val="24"/>
              </w:rPr>
              <w:t>Ⅶ</w:t>
            </w:r>
          </w:p>
        </w:tc>
        <w:tc>
          <w:tcPr>
            <w:tcW w:w="941" w:type="dxa"/>
            <w:tcBorders>
              <w:top w:val="single" w:sz="4" w:space="0" w:color="auto"/>
              <w:left w:val="nil"/>
              <w:bottom w:val="single" w:sz="4" w:space="0" w:color="auto"/>
              <w:right w:val="single" w:sz="4" w:space="0" w:color="auto"/>
            </w:tcBorders>
            <w:noWrap/>
            <w:vAlign w:val="center"/>
            <w:hideMark/>
          </w:tcPr>
          <w:p w:rsidR="008E3D12" w:rsidRDefault="008E3D12">
            <w:pPr>
              <w:widowControl/>
              <w:spacing w:line="273" w:lineRule="auto"/>
              <w:jc w:val="center"/>
              <w:rPr>
                <w:rFonts w:ascii="宋体" w:hAnsi="宋体"/>
                <w:kern w:val="0"/>
                <w:sz w:val="24"/>
                <w:szCs w:val="24"/>
              </w:rPr>
            </w:pPr>
            <w:r>
              <w:rPr>
                <w:rFonts w:ascii="宋体" w:hAnsi="宋体" w:hint="eastAsia"/>
                <w:kern w:val="0"/>
                <w:sz w:val="24"/>
                <w:szCs w:val="24"/>
              </w:rPr>
              <w:t>Ⅷ</w:t>
            </w:r>
          </w:p>
        </w:tc>
      </w:tr>
      <w:tr w:rsidR="008E3D12" w:rsidTr="008E3D12">
        <w:trPr>
          <w:trHeight w:val="402"/>
        </w:trPr>
        <w:tc>
          <w:tcPr>
            <w:tcW w:w="947" w:type="dxa"/>
            <w:tcBorders>
              <w:top w:val="single" w:sz="4" w:space="0" w:color="auto"/>
              <w:left w:val="single" w:sz="4" w:space="0" w:color="auto"/>
              <w:bottom w:val="single" w:sz="4" w:space="0" w:color="auto"/>
              <w:right w:val="single" w:sz="4" w:space="0" w:color="auto"/>
            </w:tcBorders>
            <w:noWrap/>
            <w:vAlign w:val="center"/>
            <w:hideMark/>
          </w:tcPr>
          <w:p w:rsidR="008E3D12" w:rsidRDefault="008E3D12">
            <w:pPr>
              <w:widowControl/>
              <w:spacing w:line="273" w:lineRule="auto"/>
              <w:jc w:val="center"/>
              <w:rPr>
                <w:rFonts w:ascii="宋体" w:hAnsi="宋体"/>
                <w:kern w:val="0"/>
                <w:sz w:val="24"/>
                <w:szCs w:val="24"/>
              </w:rPr>
            </w:pPr>
            <w:r>
              <w:rPr>
                <w:rFonts w:ascii="宋体" w:hAnsi="宋体" w:hint="eastAsia"/>
                <w:kern w:val="0"/>
                <w:sz w:val="24"/>
                <w:szCs w:val="24"/>
              </w:rPr>
              <w:t>速比</w:t>
            </w:r>
          </w:p>
        </w:tc>
        <w:tc>
          <w:tcPr>
            <w:tcW w:w="947" w:type="dxa"/>
            <w:tcBorders>
              <w:top w:val="single" w:sz="4" w:space="0" w:color="auto"/>
              <w:left w:val="nil"/>
              <w:bottom w:val="single" w:sz="4" w:space="0" w:color="auto"/>
              <w:right w:val="single" w:sz="4" w:space="0" w:color="auto"/>
            </w:tcBorders>
            <w:noWrap/>
            <w:vAlign w:val="center"/>
            <w:hideMark/>
          </w:tcPr>
          <w:p w:rsidR="008E3D12" w:rsidRDefault="008E3D12">
            <w:pPr>
              <w:spacing w:line="273" w:lineRule="auto"/>
              <w:jc w:val="center"/>
              <w:rPr>
                <w:sz w:val="24"/>
                <w:szCs w:val="24"/>
              </w:rPr>
            </w:pPr>
            <w:r>
              <w:t>3.75</w:t>
            </w:r>
          </w:p>
        </w:tc>
        <w:tc>
          <w:tcPr>
            <w:tcW w:w="947" w:type="dxa"/>
            <w:tcBorders>
              <w:top w:val="single" w:sz="4" w:space="0" w:color="auto"/>
              <w:left w:val="nil"/>
              <w:bottom w:val="single" w:sz="4" w:space="0" w:color="auto"/>
              <w:right w:val="single" w:sz="4" w:space="0" w:color="auto"/>
            </w:tcBorders>
            <w:noWrap/>
            <w:vAlign w:val="center"/>
            <w:hideMark/>
          </w:tcPr>
          <w:p w:rsidR="008E3D12" w:rsidRDefault="008E3D12">
            <w:pPr>
              <w:spacing w:line="273" w:lineRule="auto"/>
              <w:jc w:val="center"/>
              <w:rPr>
                <w:sz w:val="24"/>
                <w:szCs w:val="24"/>
              </w:rPr>
            </w:pPr>
            <w:r>
              <w:t>2.69</w:t>
            </w:r>
          </w:p>
        </w:tc>
        <w:tc>
          <w:tcPr>
            <w:tcW w:w="948" w:type="dxa"/>
            <w:tcBorders>
              <w:top w:val="single" w:sz="4" w:space="0" w:color="auto"/>
              <w:left w:val="nil"/>
              <w:bottom w:val="single" w:sz="4" w:space="0" w:color="auto"/>
              <w:right w:val="single" w:sz="4" w:space="0" w:color="auto"/>
            </w:tcBorders>
            <w:noWrap/>
            <w:vAlign w:val="center"/>
            <w:hideMark/>
          </w:tcPr>
          <w:p w:rsidR="008E3D12" w:rsidRDefault="008E3D12">
            <w:pPr>
              <w:spacing w:line="273" w:lineRule="auto"/>
              <w:jc w:val="center"/>
              <w:rPr>
                <w:sz w:val="24"/>
                <w:szCs w:val="24"/>
              </w:rPr>
            </w:pPr>
            <w:r>
              <w:t>2.2</w:t>
            </w:r>
            <w:r>
              <w:rPr>
                <w:rFonts w:hint="eastAsia"/>
              </w:rPr>
              <w:t>0</w:t>
            </w:r>
          </w:p>
        </w:tc>
        <w:tc>
          <w:tcPr>
            <w:tcW w:w="948" w:type="dxa"/>
            <w:tcBorders>
              <w:top w:val="single" w:sz="4" w:space="0" w:color="auto"/>
              <w:left w:val="nil"/>
              <w:bottom w:val="single" w:sz="4" w:space="0" w:color="auto"/>
              <w:right w:val="single" w:sz="4" w:space="0" w:color="auto"/>
            </w:tcBorders>
            <w:noWrap/>
            <w:vAlign w:val="center"/>
            <w:hideMark/>
          </w:tcPr>
          <w:p w:rsidR="008E3D12" w:rsidRDefault="008E3D12">
            <w:pPr>
              <w:spacing w:line="273" w:lineRule="auto"/>
              <w:jc w:val="center"/>
              <w:rPr>
                <w:sz w:val="24"/>
                <w:szCs w:val="24"/>
              </w:rPr>
            </w:pPr>
            <w:r>
              <w:t>1.7</w:t>
            </w:r>
            <w:r>
              <w:rPr>
                <w:rFonts w:hint="eastAsia"/>
              </w:rPr>
              <w:t>9</w:t>
            </w:r>
          </w:p>
        </w:tc>
        <w:tc>
          <w:tcPr>
            <w:tcW w:w="948" w:type="dxa"/>
            <w:tcBorders>
              <w:top w:val="single" w:sz="4" w:space="0" w:color="auto"/>
              <w:left w:val="nil"/>
              <w:bottom w:val="single" w:sz="4" w:space="0" w:color="auto"/>
              <w:right w:val="single" w:sz="4" w:space="0" w:color="auto"/>
            </w:tcBorders>
            <w:noWrap/>
            <w:vAlign w:val="center"/>
            <w:hideMark/>
          </w:tcPr>
          <w:p w:rsidR="008E3D12" w:rsidRDefault="008E3D12">
            <w:pPr>
              <w:spacing w:line="273" w:lineRule="auto"/>
              <w:jc w:val="center"/>
              <w:rPr>
                <w:sz w:val="24"/>
                <w:szCs w:val="24"/>
              </w:rPr>
            </w:pPr>
            <w:r>
              <w:t>1.58</w:t>
            </w:r>
          </w:p>
        </w:tc>
        <w:tc>
          <w:tcPr>
            <w:tcW w:w="948" w:type="dxa"/>
            <w:tcBorders>
              <w:top w:val="single" w:sz="4" w:space="0" w:color="auto"/>
              <w:left w:val="nil"/>
              <w:bottom w:val="single" w:sz="4" w:space="0" w:color="auto"/>
              <w:right w:val="single" w:sz="4" w:space="0" w:color="auto"/>
            </w:tcBorders>
            <w:noWrap/>
            <w:vAlign w:val="center"/>
            <w:hideMark/>
          </w:tcPr>
          <w:p w:rsidR="008E3D12" w:rsidRDefault="008E3D12">
            <w:pPr>
              <w:spacing w:line="273" w:lineRule="auto"/>
              <w:jc w:val="center"/>
              <w:rPr>
                <w:sz w:val="24"/>
                <w:szCs w:val="24"/>
              </w:rPr>
            </w:pPr>
            <w:r>
              <w:t>1.27</w:t>
            </w:r>
          </w:p>
        </w:tc>
        <w:tc>
          <w:tcPr>
            <w:tcW w:w="948" w:type="dxa"/>
            <w:tcBorders>
              <w:top w:val="single" w:sz="4" w:space="0" w:color="auto"/>
              <w:left w:val="nil"/>
              <w:bottom w:val="single" w:sz="4" w:space="0" w:color="auto"/>
              <w:right w:val="single" w:sz="4" w:space="0" w:color="auto"/>
            </w:tcBorders>
            <w:noWrap/>
            <w:vAlign w:val="center"/>
            <w:hideMark/>
          </w:tcPr>
          <w:p w:rsidR="008E3D12" w:rsidRDefault="008E3D12">
            <w:pPr>
              <w:spacing w:line="273" w:lineRule="auto"/>
              <w:jc w:val="center"/>
              <w:rPr>
                <w:sz w:val="24"/>
                <w:szCs w:val="24"/>
              </w:rPr>
            </w:pPr>
            <w:r>
              <w:t>1</w:t>
            </w:r>
            <w:r>
              <w:rPr>
                <w:rFonts w:hint="eastAsia"/>
              </w:rPr>
              <w:t>.00</w:t>
            </w:r>
          </w:p>
        </w:tc>
        <w:tc>
          <w:tcPr>
            <w:tcW w:w="941" w:type="dxa"/>
            <w:tcBorders>
              <w:top w:val="single" w:sz="4" w:space="0" w:color="auto"/>
              <w:left w:val="nil"/>
              <w:bottom w:val="single" w:sz="4" w:space="0" w:color="auto"/>
              <w:right w:val="single" w:sz="4" w:space="0" w:color="auto"/>
            </w:tcBorders>
            <w:noWrap/>
            <w:vAlign w:val="center"/>
            <w:hideMark/>
          </w:tcPr>
          <w:p w:rsidR="008E3D12" w:rsidRDefault="008E3D12">
            <w:pPr>
              <w:spacing w:line="273" w:lineRule="auto"/>
              <w:jc w:val="center"/>
              <w:rPr>
                <w:sz w:val="24"/>
                <w:szCs w:val="24"/>
              </w:rPr>
            </w:pPr>
            <w:r>
              <w:t>0.72</w:t>
            </w:r>
          </w:p>
        </w:tc>
      </w:tr>
    </w:tbl>
    <w:p w:rsidR="008E3D12" w:rsidRDefault="008E3D12" w:rsidP="008E3D12">
      <w:pPr>
        <w:spacing w:line="360" w:lineRule="auto"/>
        <w:ind w:leftChars="200" w:left="420"/>
        <w:rPr>
          <w:sz w:val="24"/>
          <w:szCs w:val="24"/>
        </w:rPr>
      </w:pPr>
      <w:r>
        <w:rPr>
          <w:rFonts w:hint="eastAsia"/>
          <w:sz w:val="24"/>
          <w:szCs w:val="24"/>
        </w:rPr>
        <w:t>4</w:t>
      </w:r>
      <w:r>
        <w:rPr>
          <w:rFonts w:ascii="宋体" w:hAnsi="宋体" w:hint="eastAsia"/>
          <w:sz w:val="24"/>
          <w:szCs w:val="24"/>
        </w:rPr>
        <w:t>、主压泵</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型号：</w:t>
      </w:r>
      <w:r>
        <w:rPr>
          <w:rFonts w:hint="eastAsia"/>
          <w:sz w:val="24"/>
          <w:szCs w:val="24"/>
        </w:rPr>
        <w:t>WYB 2500/105</w:t>
      </w:r>
      <w:r>
        <w:rPr>
          <w:rFonts w:ascii="宋体" w:hAnsi="宋体" w:hint="eastAsia"/>
          <w:sz w:val="24"/>
          <w:szCs w:val="24"/>
        </w:rPr>
        <w:t>（五缸单作用柱塞泵）</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lastRenderedPageBreak/>
        <w:t>柱塞直径：</w:t>
      </w:r>
      <w:r>
        <w:rPr>
          <w:rFonts w:hint="eastAsia"/>
          <w:sz w:val="24"/>
          <w:szCs w:val="24"/>
        </w:rPr>
        <w:t>Φ</w:t>
      </w:r>
      <w:r>
        <w:rPr>
          <w:rFonts w:hint="eastAsia"/>
          <w:sz w:val="24"/>
          <w:szCs w:val="24"/>
        </w:rPr>
        <w:t>100</w:t>
      </w:r>
      <w:r>
        <w:rPr>
          <w:rFonts w:ascii="宋体" w:hAnsi="宋体" w:hint="eastAsia"/>
          <w:sz w:val="24"/>
          <w:szCs w:val="24"/>
        </w:rPr>
        <w:t>、Ф</w:t>
      </w:r>
      <w:r>
        <w:rPr>
          <w:rFonts w:hint="eastAsia"/>
          <w:sz w:val="24"/>
          <w:szCs w:val="24"/>
        </w:rPr>
        <w:t>115</w:t>
      </w:r>
      <w:r>
        <w:rPr>
          <w:rFonts w:ascii="宋体" w:hAnsi="宋体" w:hint="eastAsia"/>
          <w:sz w:val="24"/>
          <w:szCs w:val="24"/>
        </w:rPr>
        <w:t>、Ф</w:t>
      </w:r>
      <w:r>
        <w:rPr>
          <w:rFonts w:hint="eastAsia"/>
          <w:sz w:val="24"/>
          <w:szCs w:val="24"/>
        </w:rPr>
        <w:t>125mm</w:t>
      </w:r>
      <w:r>
        <w:rPr>
          <w:rFonts w:ascii="宋体" w:hAnsi="宋体" w:hint="eastAsia"/>
          <w:sz w:val="24"/>
          <w:szCs w:val="24"/>
        </w:rPr>
        <w:t>（由用户任选一种柱塞）</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冲程：</w:t>
      </w:r>
      <w:r>
        <w:rPr>
          <w:rFonts w:hint="eastAsia"/>
          <w:sz w:val="24"/>
          <w:szCs w:val="24"/>
        </w:rPr>
        <w:t>203.2mm</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水功率：</w:t>
      </w:r>
      <w:r>
        <w:rPr>
          <w:rFonts w:hint="eastAsia"/>
          <w:sz w:val="24"/>
          <w:szCs w:val="24"/>
        </w:rPr>
        <w:t>2500HP</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泵内减速比：</w:t>
      </w:r>
      <w:r>
        <w:rPr>
          <w:rFonts w:hint="eastAsia"/>
          <w:sz w:val="24"/>
          <w:szCs w:val="24"/>
        </w:rPr>
        <w:t>6.3889</w:t>
      </w:r>
    </w:p>
    <w:p w:rsidR="008E3D12" w:rsidRDefault="008E3D12" w:rsidP="008E3D12">
      <w:pPr>
        <w:spacing w:line="360" w:lineRule="auto"/>
        <w:ind w:leftChars="200" w:left="420"/>
        <w:rPr>
          <w:sz w:val="24"/>
          <w:szCs w:val="24"/>
        </w:rPr>
      </w:pPr>
      <w:r>
        <w:rPr>
          <w:rFonts w:hint="eastAsia"/>
          <w:sz w:val="24"/>
          <w:szCs w:val="24"/>
        </w:rPr>
        <w:t>5</w:t>
      </w:r>
      <w:r>
        <w:rPr>
          <w:rFonts w:ascii="宋体" w:hAnsi="宋体" w:hint="eastAsia"/>
          <w:sz w:val="24"/>
          <w:szCs w:val="24"/>
        </w:rPr>
        <w:t>、控制系统（近</w:t>
      </w:r>
      <w:r>
        <w:rPr>
          <w:rFonts w:hint="eastAsia"/>
          <w:sz w:val="24"/>
          <w:szCs w:val="24"/>
        </w:rPr>
        <w:t>/</w:t>
      </w:r>
      <w:r>
        <w:rPr>
          <w:rFonts w:ascii="宋体" w:hAnsi="宋体" w:hint="eastAsia"/>
          <w:sz w:val="24"/>
          <w:szCs w:val="24"/>
        </w:rPr>
        <w:t>远控制）</w:t>
      </w:r>
    </w:p>
    <w:p w:rsidR="008E3D12" w:rsidRDefault="008E3D12" w:rsidP="008E3D12">
      <w:pPr>
        <w:spacing w:line="360" w:lineRule="auto"/>
        <w:ind w:leftChars="200" w:left="420" w:firstLineChars="150" w:firstLine="360"/>
        <w:rPr>
          <w:sz w:val="24"/>
          <w:szCs w:val="24"/>
        </w:rPr>
      </w:pPr>
      <w:r>
        <w:rPr>
          <w:rFonts w:hint="eastAsia"/>
          <w:sz w:val="24"/>
          <w:szCs w:val="24"/>
        </w:rPr>
        <w:t>①、近距离控制包括：柴油机启动、停机、转速调节，柴油机冷却液温度，柴油机机油油压，变速箱油温、油压，主压泵油温、油压，变速箱挡位显示。</w:t>
      </w:r>
    </w:p>
    <w:p w:rsidR="008E3D12" w:rsidRDefault="008E3D12" w:rsidP="008E3D12">
      <w:pPr>
        <w:spacing w:line="360" w:lineRule="auto"/>
        <w:ind w:leftChars="200" w:left="420" w:firstLineChars="150" w:firstLine="360"/>
        <w:rPr>
          <w:sz w:val="24"/>
          <w:szCs w:val="24"/>
        </w:rPr>
      </w:pPr>
      <w:r>
        <w:rPr>
          <w:rFonts w:hint="eastAsia"/>
          <w:sz w:val="24"/>
          <w:szCs w:val="24"/>
        </w:rPr>
        <w:t>②、远距离控制包括：报警装置（柴油机冷却液水位、柴油机冷却液温度、柴油机机油压力；变速箱油温、油压；主压泵油温、油压的报警），柴油机启动、停机，柴油机转数显示，主压泵的理论排量显示，变速箱的挡位显示，主压泵的超压保护装置。</w:t>
      </w:r>
    </w:p>
    <w:p w:rsidR="008E3D12" w:rsidRDefault="008E3D12" w:rsidP="008E3D12">
      <w:pPr>
        <w:spacing w:line="360" w:lineRule="auto"/>
        <w:ind w:leftChars="200" w:left="420" w:firstLineChars="150" w:firstLine="361"/>
        <w:rPr>
          <w:b/>
          <w:bCs/>
          <w:i/>
          <w:iCs/>
          <w:sz w:val="24"/>
          <w:szCs w:val="24"/>
        </w:rPr>
      </w:pPr>
      <w:r>
        <w:rPr>
          <w:rFonts w:ascii="宋体" w:hAnsi="宋体" w:hint="eastAsia"/>
          <w:b/>
          <w:bCs/>
          <w:i/>
          <w:iCs/>
          <w:sz w:val="24"/>
          <w:szCs w:val="24"/>
        </w:rPr>
        <w:t>注：</w:t>
      </w:r>
      <w:proofErr w:type="gramStart"/>
      <w:r>
        <w:rPr>
          <w:rFonts w:ascii="宋体" w:hAnsi="宋体" w:hint="eastAsia"/>
          <w:b/>
          <w:bCs/>
          <w:i/>
          <w:iCs/>
          <w:sz w:val="24"/>
          <w:szCs w:val="24"/>
        </w:rPr>
        <w:t>本设备</w:t>
      </w:r>
      <w:proofErr w:type="gramEnd"/>
      <w:r>
        <w:rPr>
          <w:rFonts w:ascii="宋体" w:hAnsi="宋体" w:hint="eastAsia"/>
          <w:b/>
          <w:bCs/>
          <w:i/>
          <w:iCs/>
          <w:sz w:val="24"/>
          <w:szCs w:val="24"/>
        </w:rPr>
        <w:t>可以与混砂车、仪表车进行网络控制。</w:t>
      </w:r>
    </w:p>
    <w:p w:rsidR="008E3D12" w:rsidRDefault="008E3D12" w:rsidP="008E3D12">
      <w:pPr>
        <w:spacing w:line="360" w:lineRule="auto"/>
        <w:ind w:leftChars="200" w:left="420"/>
        <w:rPr>
          <w:sz w:val="24"/>
          <w:szCs w:val="24"/>
        </w:rPr>
      </w:pPr>
      <w:r>
        <w:rPr>
          <w:rFonts w:hint="eastAsia"/>
          <w:sz w:val="24"/>
          <w:szCs w:val="24"/>
        </w:rPr>
        <w:t>6</w:t>
      </w:r>
      <w:r>
        <w:rPr>
          <w:rFonts w:ascii="宋体" w:hAnsi="宋体" w:hint="eastAsia"/>
          <w:sz w:val="24"/>
          <w:szCs w:val="24"/>
        </w:rPr>
        <w:t>、润滑系统</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可分为主压泵动力端润滑和柱塞润滑两个润滑系统。</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主压泵动力润滑由齿轮泵、溢流阀、滤油器、油压表等部件组成的，通过强迫和飞溅润滑方式对动力端所有的运动副进行润滑。</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柱塞润滑由进口</w:t>
      </w:r>
      <w:r>
        <w:rPr>
          <w:rFonts w:hint="eastAsia"/>
          <w:sz w:val="24"/>
          <w:szCs w:val="24"/>
        </w:rPr>
        <w:t>PT</w:t>
      </w:r>
      <w:r>
        <w:rPr>
          <w:rFonts w:ascii="宋体" w:hAnsi="宋体" w:hint="eastAsia"/>
          <w:sz w:val="24"/>
          <w:szCs w:val="24"/>
        </w:rPr>
        <w:t>泵和油箱组成的，通过</w:t>
      </w:r>
      <w:r>
        <w:rPr>
          <w:rFonts w:hint="eastAsia"/>
          <w:sz w:val="24"/>
          <w:szCs w:val="24"/>
        </w:rPr>
        <w:t>PT</w:t>
      </w:r>
      <w:proofErr w:type="gramStart"/>
      <w:r>
        <w:rPr>
          <w:rFonts w:ascii="宋体" w:hAnsi="宋体" w:hint="eastAsia"/>
          <w:sz w:val="24"/>
          <w:szCs w:val="24"/>
        </w:rPr>
        <w:t>泵对柱塞</w:t>
      </w:r>
      <w:proofErr w:type="gramEnd"/>
      <w:r>
        <w:rPr>
          <w:rFonts w:ascii="宋体" w:hAnsi="宋体" w:hint="eastAsia"/>
          <w:sz w:val="24"/>
          <w:szCs w:val="24"/>
        </w:rPr>
        <w:t>及柱塞密封件进行强制润滑。</w:t>
      </w:r>
    </w:p>
    <w:p w:rsidR="008E3D12" w:rsidRDefault="008E3D12" w:rsidP="008E3D12">
      <w:pPr>
        <w:spacing w:line="360" w:lineRule="auto"/>
        <w:ind w:leftChars="200" w:left="420"/>
        <w:rPr>
          <w:sz w:val="24"/>
          <w:szCs w:val="24"/>
        </w:rPr>
      </w:pPr>
      <w:r>
        <w:rPr>
          <w:rFonts w:hint="eastAsia"/>
          <w:sz w:val="24"/>
          <w:szCs w:val="24"/>
        </w:rPr>
        <w:t>7</w:t>
      </w:r>
      <w:r>
        <w:rPr>
          <w:rFonts w:ascii="宋体" w:hAnsi="宋体" w:hint="eastAsia"/>
          <w:sz w:val="24"/>
          <w:szCs w:val="24"/>
        </w:rPr>
        <w:t>、冷却系统</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冷却系统由散热器对主压泵润滑油与变速器液力传动油以及燃油分别进行冷却，散热器放置台上柴油机的散热器的前端。</w:t>
      </w:r>
    </w:p>
    <w:p w:rsidR="008E3D12" w:rsidRDefault="008E3D12" w:rsidP="008E3D12">
      <w:pPr>
        <w:spacing w:line="360" w:lineRule="auto"/>
        <w:ind w:leftChars="200" w:left="420"/>
        <w:rPr>
          <w:sz w:val="24"/>
          <w:szCs w:val="24"/>
        </w:rPr>
      </w:pPr>
      <w:r>
        <w:rPr>
          <w:rFonts w:hint="eastAsia"/>
          <w:sz w:val="24"/>
          <w:szCs w:val="24"/>
        </w:rPr>
        <w:t>8</w:t>
      </w:r>
      <w:r>
        <w:rPr>
          <w:rFonts w:ascii="宋体" w:hAnsi="宋体" w:hint="eastAsia"/>
          <w:sz w:val="24"/>
          <w:szCs w:val="24"/>
        </w:rPr>
        <w:t>、</w:t>
      </w:r>
      <w:proofErr w:type="gramStart"/>
      <w:r>
        <w:rPr>
          <w:rFonts w:ascii="宋体" w:hAnsi="宋体" w:hint="eastAsia"/>
          <w:sz w:val="24"/>
          <w:szCs w:val="24"/>
        </w:rPr>
        <w:t>吸入管系</w:t>
      </w:r>
      <w:proofErr w:type="gramEnd"/>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吸入口为</w:t>
      </w:r>
      <w:r>
        <w:rPr>
          <w:rFonts w:hint="eastAsia"/>
          <w:sz w:val="24"/>
          <w:szCs w:val="24"/>
        </w:rPr>
        <w:t>4"</w:t>
      </w:r>
      <w:r>
        <w:rPr>
          <w:rFonts w:ascii="宋体" w:hAnsi="宋体" w:hint="eastAsia"/>
          <w:sz w:val="24"/>
          <w:szCs w:val="24"/>
        </w:rPr>
        <w:t>双吸入口，置于汽车尾部。</w:t>
      </w:r>
    </w:p>
    <w:p w:rsidR="008E3D12" w:rsidRDefault="008E3D12" w:rsidP="008E3D12">
      <w:pPr>
        <w:spacing w:line="360" w:lineRule="auto"/>
        <w:ind w:leftChars="200" w:left="420"/>
        <w:rPr>
          <w:sz w:val="24"/>
          <w:szCs w:val="24"/>
        </w:rPr>
      </w:pPr>
      <w:r>
        <w:rPr>
          <w:rFonts w:hint="eastAsia"/>
          <w:sz w:val="24"/>
          <w:szCs w:val="24"/>
        </w:rPr>
        <w:t>9</w:t>
      </w:r>
      <w:r>
        <w:rPr>
          <w:rFonts w:ascii="宋体" w:hAnsi="宋体" w:hint="eastAsia"/>
          <w:sz w:val="24"/>
          <w:szCs w:val="24"/>
        </w:rPr>
        <w:t>、排出管系</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排出管径为</w:t>
      </w:r>
      <w:r>
        <w:rPr>
          <w:rFonts w:hint="eastAsia"/>
          <w:sz w:val="24"/>
          <w:szCs w:val="24"/>
        </w:rPr>
        <w:t>3"</w:t>
      </w:r>
      <w:r>
        <w:rPr>
          <w:rFonts w:ascii="宋体" w:hAnsi="宋体" w:hint="eastAsia"/>
          <w:sz w:val="24"/>
          <w:szCs w:val="24"/>
        </w:rPr>
        <w:t>，耐压</w:t>
      </w:r>
      <w:r>
        <w:rPr>
          <w:rFonts w:hint="eastAsia"/>
          <w:sz w:val="24"/>
          <w:szCs w:val="24"/>
        </w:rPr>
        <w:t xml:space="preserve">105 </w:t>
      </w:r>
      <w:proofErr w:type="spellStart"/>
      <w:r>
        <w:rPr>
          <w:rFonts w:hint="eastAsia"/>
          <w:sz w:val="24"/>
          <w:szCs w:val="24"/>
        </w:rPr>
        <w:t>MPa</w:t>
      </w:r>
      <w:proofErr w:type="spellEnd"/>
      <w:r>
        <w:rPr>
          <w:rFonts w:ascii="宋体" w:hAnsi="宋体" w:hint="eastAsia"/>
          <w:sz w:val="24"/>
          <w:szCs w:val="24"/>
        </w:rPr>
        <w:t>，置于汽车尾部。</w:t>
      </w:r>
    </w:p>
    <w:p w:rsidR="008E3D12" w:rsidRDefault="008E3D12" w:rsidP="008E3D12">
      <w:pPr>
        <w:spacing w:line="360" w:lineRule="auto"/>
        <w:ind w:leftChars="200" w:left="420"/>
        <w:rPr>
          <w:sz w:val="24"/>
          <w:szCs w:val="24"/>
        </w:rPr>
      </w:pPr>
      <w:r>
        <w:rPr>
          <w:rFonts w:hint="eastAsia"/>
          <w:sz w:val="24"/>
          <w:szCs w:val="24"/>
        </w:rPr>
        <w:t>10</w:t>
      </w:r>
      <w:r>
        <w:rPr>
          <w:rFonts w:ascii="宋体" w:hAnsi="宋体" w:hint="eastAsia"/>
          <w:sz w:val="24"/>
          <w:szCs w:val="24"/>
        </w:rPr>
        <w:t>、辅助管系：</w:t>
      </w:r>
    </w:p>
    <w:p w:rsidR="008E3D12" w:rsidRDefault="008E3D12" w:rsidP="008E3D12">
      <w:pPr>
        <w:spacing w:line="360" w:lineRule="auto"/>
        <w:ind w:leftChars="200" w:left="420" w:firstLineChars="150" w:firstLine="360"/>
        <w:rPr>
          <w:sz w:val="24"/>
          <w:szCs w:val="24"/>
        </w:rPr>
      </w:pPr>
      <w:r>
        <w:rPr>
          <w:rFonts w:hint="eastAsia"/>
          <w:sz w:val="24"/>
          <w:szCs w:val="24"/>
        </w:rPr>
        <w:t>⑴、</w:t>
      </w:r>
      <w:r>
        <w:rPr>
          <w:rFonts w:hint="eastAsia"/>
          <w:sz w:val="24"/>
          <w:szCs w:val="24"/>
        </w:rPr>
        <w:t>4"</w:t>
      </w:r>
      <w:r>
        <w:rPr>
          <w:rFonts w:ascii="宋体" w:hAnsi="宋体" w:hint="eastAsia"/>
          <w:sz w:val="24"/>
          <w:szCs w:val="24"/>
        </w:rPr>
        <w:t>吸入低压软管，</w:t>
      </w:r>
      <w:r>
        <w:rPr>
          <w:rFonts w:hint="eastAsia"/>
          <w:sz w:val="24"/>
          <w:szCs w:val="24"/>
        </w:rPr>
        <w:t>6 m</w:t>
      </w:r>
      <w:r>
        <w:rPr>
          <w:rFonts w:ascii="宋体" w:hAnsi="宋体" w:hint="eastAsia"/>
          <w:sz w:val="24"/>
          <w:szCs w:val="24"/>
        </w:rPr>
        <w:t>×</w:t>
      </w:r>
      <w:r>
        <w:rPr>
          <w:rFonts w:hint="eastAsia"/>
          <w:sz w:val="24"/>
          <w:szCs w:val="24"/>
        </w:rPr>
        <w:t>2</w:t>
      </w:r>
      <w:r>
        <w:rPr>
          <w:rFonts w:ascii="宋体" w:hAnsi="宋体" w:hint="eastAsia"/>
          <w:sz w:val="24"/>
          <w:szCs w:val="24"/>
        </w:rPr>
        <w:t>根</w:t>
      </w:r>
    </w:p>
    <w:p w:rsidR="008E3D12" w:rsidRDefault="008E3D12" w:rsidP="008E3D12">
      <w:pPr>
        <w:spacing w:line="360" w:lineRule="auto"/>
        <w:ind w:leftChars="200" w:left="420" w:firstLineChars="150" w:firstLine="360"/>
        <w:rPr>
          <w:sz w:val="24"/>
          <w:szCs w:val="24"/>
        </w:rPr>
      </w:pPr>
      <w:r>
        <w:rPr>
          <w:rFonts w:hint="eastAsia"/>
          <w:sz w:val="24"/>
          <w:szCs w:val="24"/>
        </w:rPr>
        <w:t>⑵、</w:t>
      </w:r>
      <w:r>
        <w:rPr>
          <w:rFonts w:hint="eastAsia"/>
          <w:sz w:val="24"/>
          <w:szCs w:val="24"/>
        </w:rPr>
        <w:t>3"</w:t>
      </w:r>
      <w:r>
        <w:rPr>
          <w:rFonts w:ascii="宋体" w:hAnsi="宋体" w:hint="eastAsia"/>
          <w:sz w:val="24"/>
          <w:szCs w:val="24"/>
        </w:rPr>
        <w:t>高压活动弯头，</w:t>
      </w:r>
      <w:r>
        <w:rPr>
          <w:rFonts w:hint="eastAsia"/>
          <w:sz w:val="24"/>
          <w:szCs w:val="24"/>
        </w:rPr>
        <w:t>4</w:t>
      </w:r>
      <w:r>
        <w:rPr>
          <w:rFonts w:ascii="宋体" w:hAnsi="宋体" w:hint="eastAsia"/>
          <w:sz w:val="24"/>
          <w:szCs w:val="24"/>
        </w:rPr>
        <w:t>件</w:t>
      </w:r>
    </w:p>
    <w:p w:rsidR="008E3D12" w:rsidRDefault="008E3D12" w:rsidP="008E3D12">
      <w:pPr>
        <w:spacing w:line="360" w:lineRule="auto"/>
        <w:ind w:leftChars="200" w:left="420" w:firstLineChars="150" w:firstLine="360"/>
        <w:rPr>
          <w:sz w:val="24"/>
          <w:szCs w:val="24"/>
        </w:rPr>
      </w:pPr>
      <w:r>
        <w:rPr>
          <w:rFonts w:hint="eastAsia"/>
          <w:sz w:val="24"/>
          <w:szCs w:val="24"/>
        </w:rPr>
        <w:lastRenderedPageBreak/>
        <w:t>⑶、</w:t>
      </w:r>
      <w:r>
        <w:rPr>
          <w:rFonts w:hint="eastAsia"/>
          <w:sz w:val="24"/>
          <w:szCs w:val="24"/>
        </w:rPr>
        <w:t>3"</w:t>
      </w:r>
      <w:r>
        <w:rPr>
          <w:rFonts w:ascii="宋体" w:hAnsi="宋体" w:hint="eastAsia"/>
          <w:sz w:val="24"/>
          <w:szCs w:val="24"/>
        </w:rPr>
        <w:t>高压直管，</w:t>
      </w:r>
      <w:r>
        <w:rPr>
          <w:rFonts w:hint="eastAsia"/>
          <w:sz w:val="24"/>
          <w:szCs w:val="24"/>
        </w:rPr>
        <w:t>2.5 m</w:t>
      </w:r>
      <w:r>
        <w:rPr>
          <w:rFonts w:ascii="宋体" w:hAnsi="宋体" w:hint="eastAsia"/>
          <w:sz w:val="24"/>
          <w:szCs w:val="24"/>
        </w:rPr>
        <w:t>×</w:t>
      </w:r>
      <w:r>
        <w:rPr>
          <w:rFonts w:hint="eastAsia"/>
          <w:sz w:val="24"/>
          <w:szCs w:val="24"/>
        </w:rPr>
        <w:t>3</w:t>
      </w:r>
      <w:r>
        <w:rPr>
          <w:rFonts w:ascii="宋体" w:hAnsi="宋体" w:hint="eastAsia"/>
          <w:sz w:val="24"/>
          <w:szCs w:val="24"/>
        </w:rPr>
        <w:t>根，</w:t>
      </w:r>
      <w:r>
        <w:rPr>
          <w:rFonts w:hint="eastAsia"/>
          <w:sz w:val="24"/>
          <w:szCs w:val="24"/>
        </w:rPr>
        <w:t>1.5 m</w:t>
      </w:r>
      <w:r>
        <w:rPr>
          <w:rFonts w:ascii="宋体" w:hAnsi="宋体" w:hint="eastAsia"/>
          <w:sz w:val="24"/>
          <w:szCs w:val="24"/>
        </w:rPr>
        <w:t>×</w:t>
      </w:r>
      <w:r>
        <w:rPr>
          <w:rFonts w:hint="eastAsia"/>
          <w:sz w:val="24"/>
          <w:szCs w:val="24"/>
        </w:rPr>
        <w:t>3</w:t>
      </w:r>
      <w:r>
        <w:rPr>
          <w:rFonts w:ascii="宋体" w:hAnsi="宋体" w:hint="eastAsia"/>
          <w:sz w:val="24"/>
          <w:szCs w:val="24"/>
        </w:rPr>
        <w:t>根</w:t>
      </w:r>
    </w:p>
    <w:p w:rsidR="008E3D12" w:rsidRDefault="008E3D12" w:rsidP="008E3D12">
      <w:pPr>
        <w:spacing w:line="360" w:lineRule="auto"/>
        <w:ind w:leftChars="200" w:left="420" w:firstLineChars="150" w:firstLine="360"/>
        <w:rPr>
          <w:sz w:val="24"/>
          <w:szCs w:val="24"/>
        </w:rPr>
      </w:pPr>
      <w:r>
        <w:rPr>
          <w:rFonts w:hint="eastAsia"/>
          <w:sz w:val="24"/>
          <w:szCs w:val="24"/>
        </w:rPr>
        <w:t>⑷、高</w:t>
      </w:r>
      <w:proofErr w:type="gramStart"/>
      <w:r>
        <w:rPr>
          <w:rFonts w:hint="eastAsia"/>
          <w:sz w:val="24"/>
          <w:szCs w:val="24"/>
        </w:rPr>
        <w:t>压入井短节</w:t>
      </w:r>
      <w:proofErr w:type="gramEnd"/>
      <w:r>
        <w:rPr>
          <w:rFonts w:hint="eastAsia"/>
          <w:sz w:val="24"/>
          <w:szCs w:val="24"/>
        </w:rPr>
        <w:t>，</w:t>
      </w:r>
      <w:r>
        <w:rPr>
          <w:rFonts w:hint="eastAsia"/>
          <w:sz w:val="24"/>
          <w:szCs w:val="24"/>
        </w:rPr>
        <w:t>1</w:t>
      </w:r>
      <w:r>
        <w:rPr>
          <w:rFonts w:ascii="宋体" w:hAnsi="宋体" w:hint="eastAsia"/>
          <w:sz w:val="24"/>
          <w:szCs w:val="24"/>
        </w:rPr>
        <w:t>套，</w:t>
      </w:r>
      <w:r>
        <w:rPr>
          <w:rFonts w:hint="eastAsia"/>
          <w:sz w:val="24"/>
          <w:szCs w:val="24"/>
        </w:rPr>
        <w:t>3"</w:t>
      </w:r>
      <w:r>
        <w:rPr>
          <w:rFonts w:ascii="宋体" w:hAnsi="宋体" w:hint="eastAsia"/>
          <w:sz w:val="24"/>
          <w:szCs w:val="24"/>
        </w:rPr>
        <w:t>扣＋</w:t>
      </w:r>
      <w:r>
        <w:rPr>
          <w:rFonts w:hint="eastAsia"/>
          <w:sz w:val="24"/>
          <w:szCs w:val="24"/>
        </w:rPr>
        <w:t>3"</w:t>
      </w:r>
      <w:proofErr w:type="gramStart"/>
      <w:r>
        <w:rPr>
          <w:rFonts w:ascii="宋体" w:hAnsi="宋体" w:hint="eastAsia"/>
          <w:sz w:val="24"/>
          <w:szCs w:val="24"/>
        </w:rPr>
        <w:t>凹</w:t>
      </w:r>
      <w:proofErr w:type="gramEnd"/>
      <w:r>
        <w:rPr>
          <w:rFonts w:ascii="宋体" w:hAnsi="宋体" w:hint="eastAsia"/>
          <w:sz w:val="24"/>
          <w:szCs w:val="24"/>
        </w:rPr>
        <w:t>头，长</w:t>
      </w:r>
      <w:r>
        <w:rPr>
          <w:rFonts w:hint="eastAsia"/>
          <w:sz w:val="24"/>
          <w:szCs w:val="24"/>
        </w:rPr>
        <w:t>300 mm</w:t>
      </w:r>
      <w:r>
        <w:rPr>
          <w:rFonts w:ascii="宋体" w:hAnsi="宋体" w:hint="eastAsia"/>
          <w:sz w:val="24"/>
          <w:szCs w:val="24"/>
        </w:rPr>
        <w:t>（扣形</w:t>
      </w:r>
      <w:r>
        <w:rPr>
          <w:rFonts w:hint="eastAsia"/>
          <w:sz w:val="24"/>
          <w:szCs w:val="24"/>
        </w:rPr>
        <w:t>1502</w:t>
      </w:r>
      <w:r>
        <w:rPr>
          <w:rFonts w:ascii="宋体" w:hAnsi="宋体" w:hint="eastAsia"/>
          <w:sz w:val="24"/>
          <w:szCs w:val="24"/>
        </w:rPr>
        <w:t>）</w:t>
      </w:r>
    </w:p>
    <w:p w:rsidR="008E3D12" w:rsidRDefault="008E3D12" w:rsidP="008E3D12">
      <w:pPr>
        <w:spacing w:line="360" w:lineRule="auto"/>
        <w:ind w:leftChars="200" w:left="420" w:firstLineChars="150" w:firstLine="360"/>
        <w:rPr>
          <w:sz w:val="24"/>
          <w:szCs w:val="24"/>
        </w:rPr>
      </w:pPr>
      <w:r>
        <w:rPr>
          <w:rFonts w:hint="eastAsia"/>
          <w:sz w:val="24"/>
          <w:szCs w:val="24"/>
        </w:rPr>
        <w:t>⑸、</w:t>
      </w:r>
      <w:r>
        <w:rPr>
          <w:rFonts w:hint="eastAsia"/>
          <w:sz w:val="24"/>
          <w:szCs w:val="24"/>
        </w:rPr>
        <w:t>3"</w:t>
      </w:r>
      <w:r>
        <w:rPr>
          <w:rFonts w:ascii="宋体" w:hAnsi="宋体" w:hint="eastAsia"/>
          <w:sz w:val="24"/>
          <w:szCs w:val="24"/>
        </w:rPr>
        <w:t>高压三通：</w:t>
      </w:r>
      <w:r>
        <w:rPr>
          <w:rFonts w:hint="eastAsia"/>
          <w:sz w:val="24"/>
          <w:szCs w:val="24"/>
        </w:rPr>
        <w:t>1</w:t>
      </w:r>
      <w:r>
        <w:rPr>
          <w:rFonts w:ascii="宋体" w:hAnsi="宋体" w:hint="eastAsia"/>
          <w:sz w:val="24"/>
          <w:szCs w:val="24"/>
        </w:rPr>
        <w:t>件</w:t>
      </w:r>
    </w:p>
    <w:p w:rsidR="008E3D12" w:rsidRDefault="008E3D12" w:rsidP="008E3D12">
      <w:pPr>
        <w:spacing w:line="360" w:lineRule="auto"/>
        <w:ind w:leftChars="200" w:left="420" w:firstLineChars="150" w:firstLine="360"/>
        <w:rPr>
          <w:sz w:val="24"/>
          <w:szCs w:val="24"/>
        </w:rPr>
      </w:pPr>
      <w:r>
        <w:rPr>
          <w:rFonts w:ascii="宋体" w:hAnsi="宋体" w:hint="eastAsia"/>
          <w:sz w:val="24"/>
          <w:szCs w:val="24"/>
        </w:rPr>
        <w:t>注：以上高压附件均耐压</w:t>
      </w:r>
      <w:r>
        <w:rPr>
          <w:rFonts w:hint="eastAsia"/>
          <w:sz w:val="24"/>
          <w:szCs w:val="24"/>
        </w:rPr>
        <w:t>105MPa.</w:t>
      </w:r>
    </w:p>
    <w:p w:rsidR="008E3D12" w:rsidRDefault="008E3D12" w:rsidP="008E3D12">
      <w:pPr>
        <w:spacing w:line="360" w:lineRule="auto"/>
        <w:ind w:leftChars="200" w:left="420"/>
        <w:rPr>
          <w:sz w:val="24"/>
          <w:szCs w:val="24"/>
        </w:rPr>
      </w:pPr>
      <w:r>
        <w:rPr>
          <w:rFonts w:hint="eastAsia"/>
          <w:sz w:val="24"/>
          <w:szCs w:val="24"/>
        </w:rPr>
        <w:t>11</w:t>
      </w:r>
      <w:r>
        <w:rPr>
          <w:rFonts w:ascii="宋体" w:hAnsi="宋体" w:hint="eastAsia"/>
          <w:sz w:val="24"/>
          <w:szCs w:val="24"/>
        </w:rPr>
        <w:t>、工具箱：安装在车的侧面。</w:t>
      </w:r>
    </w:p>
    <w:p w:rsidR="00444818" w:rsidRPr="008E3D12" w:rsidRDefault="00444818"/>
    <w:sectPr w:rsidR="00444818" w:rsidRPr="008E3D12" w:rsidSect="004448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金长城黑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3D12"/>
    <w:rsid w:val="00444818"/>
    <w:rsid w:val="008E3D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D1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6487674">
      <w:bodyDiv w:val="1"/>
      <w:marLeft w:val="0"/>
      <w:marRight w:val="0"/>
      <w:marTop w:val="0"/>
      <w:marBottom w:val="0"/>
      <w:divBdr>
        <w:top w:val="none" w:sz="0" w:space="0" w:color="auto"/>
        <w:left w:val="none" w:sz="0" w:space="0" w:color="auto"/>
        <w:bottom w:val="none" w:sz="0" w:space="0" w:color="auto"/>
        <w:right w:val="none" w:sz="0" w:space="0" w:color="auto"/>
      </w:divBdr>
    </w:div>
    <w:div w:id="187284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Words>
  <Characters>977</Characters>
  <Application>Microsoft Office Word</Application>
  <DocSecurity>0</DocSecurity>
  <Lines>8</Lines>
  <Paragraphs>2</Paragraphs>
  <ScaleCrop>false</ScaleCrop>
  <Company>Microsoft</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2019-10-09T01:14:00Z</dcterms:created>
  <dcterms:modified xsi:type="dcterms:W3CDTF">2019-10-09T01:14:00Z</dcterms:modified>
</cp:coreProperties>
</file>